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6E71">
      <w:pPr>
        <w:bidi w:val="0"/>
        <w:jc w:val="center"/>
        <w:rPr>
          <w:rFonts w:hint="eastAsia"/>
          <w:b/>
          <w:bCs/>
          <w:sz w:val="36"/>
          <w:szCs w:val="44"/>
          <w:lang w:val="en-US" w:eastAsia="zh-CN"/>
        </w:rPr>
      </w:pPr>
      <w:r>
        <w:rPr>
          <w:rFonts w:hint="eastAsia"/>
          <w:b/>
          <w:bCs/>
          <w:sz w:val="36"/>
          <w:szCs w:val="44"/>
          <w:lang w:val="en-US" w:eastAsia="zh-CN"/>
        </w:rPr>
        <w:t>沭阳县陇集镇谢桥村2025年度宜居宜业和美乡村建设道路提升工程征求意见公告</w:t>
      </w:r>
    </w:p>
    <w:p w14:paraId="6B595ABB">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沭阳县陇集镇人民政府就沭阳县陇集镇谢桥村2025年度宜居宜业和美乡村建设道路提升工程进行市场调研，邀请合格的供应商参与市场调研。有关事项如下：</w:t>
      </w:r>
    </w:p>
    <w:p w14:paraId="7D66C124">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6579C1BE">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（一）项目名称：沭阳县陇集镇谢桥村2025年度宜居宜业和美乡村建设道路提升工程</w:t>
      </w:r>
    </w:p>
    <w:p w14:paraId="08CCF000">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611"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359"/>
        <w:gridCol w:w="2186"/>
        <w:gridCol w:w="4012"/>
        <w:gridCol w:w="2054"/>
      </w:tblGrid>
      <w:tr w14:paraId="3EC64318">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BD9EE96">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3C02557">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401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FEB1FA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05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E975B55">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14:paraId="3687C70A">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14:paraId="07330F4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PrEx>
        <w:trPr>
          <w:tblCellSpacing w:w="0" w:type="dxa"/>
          <w:jc w:val="center"/>
        </w:trPr>
        <w:tc>
          <w:tcPr>
            <w:tcW w:w="135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7AE17683">
            <w:pPr>
              <w:widowControl/>
              <w:kinsoku w:val="0"/>
              <w:autoSpaceDE w:val="0"/>
              <w:autoSpaceDN w:val="0"/>
              <w:adjustRightInd w:val="0"/>
              <w:snapToGrid w:val="0"/>
              <w:spacing w:before="172" w:line="294" w:lineRule="auto"/>
              <w:ind w:left="100" w:right="137" w:firstLine="49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18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063CEB1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沭阳县陇集镇谢桥村2025年度宜居宜业和美乡村建设道路提升工程</w:t>
            </w:r>
          </w:p>
        </w:tc>
        <w:tc>
          <w:tcPr>
            <w:tcW w:w="401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682258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谢桥路（桥北段）改造提升、谢北路修补</w:t>
            </w:r>
          </w:p>
        </w:tc>
        <w:tc>
          <w:tcPr>
            <w:tcW w:w="205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2420666E">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97.344742</w:t>
            </w:r>
          </w:p>
        </w:tc>
      </w:tr>
    </w:tbl>
    <w:p w14:paraId="3447B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b/>
          <w:bCs w:val="0"/>
          <w:i w:val="0"/>
          <w:iCs w:val="0"/>
          <w:caps w:val="0"/>
          <w:color w:val="3D3D3D"/>
          <w:spacing w:val="0"/>
          <w:sz w:val="22"/>
          <w:szCs w:val="22"/>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二、供应商资格要求</w:t>
      </w:r>
    </w:p>
    <w:p w14:paraId="69ACA142">
      <w:pPr>
        <w:widowControl/>
        <w:kinsoku w:val="0"/>
        <w:autoSpaceDE w:val="0"/>
        <w:autoSpaceDN w:val="0"/>
        <w:adjustRightInd w:val="0"/>
        <w:snapToGrid w:val="0"/>
        <w:spacing w:before="194" w:line="219" w:lineRule="auto"/>
        <w:ind w:left="59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（一）满足《中华人民共和国政府采购法》第二十二条规定：</w:t>
      </w:r>
    </w:p>
    <w:p w14:paraId="546F2259">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14:paraId="1D176281">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14:paraId="3EFE7084">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0BDD1DEF">
      <w:pPr>
        <w:numPr>
          <w:ilvl w:val="0"/>
          <w:numId w:val="1"/>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14:paraId="1DAF812B">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14:paraId="0A5562D7">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 xml:space="preserve">1.具有公路工程施工总承包三级及以上企业资质； </w:t>
      </w:r>
    </w:p>
    <w:p w14:paraId="720DF1EF">
      <w:pPr>
        <w:spacing w:line="520" w:lineRule="exact"/>
        <w:ind w:firstLine="480"/>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14:paraId="32DCCF86">
      <w:pPr>
        <w:spacing w:line="520" w:lineRule="exact"/>
        <w:ind w:firstLine="480"/>
        <w:rPr>
          <w:rFonts w:hint="eastAsia" w:ascii="Times New Roman" w:hAnsi="Times New Roman"/>
          <w:color w:val="auto"/>
          <w:sz w:val="24"/>
          <w:szCs w:val="24"/>
        </w:rPr>
      </w:pPr>
      <w:r>
        <w:rPr>
          <w:rFonts w:hint="eastAsia" w:eastAsia="宋体" w:cs="Times New Roman"/>
          <w:i/>
          <w:iCs/>
          <w:color w:val="000000"/>
          <w:sz w:val="24"/>
          <w:szCs w:val="24"/>
          <w:u w:val="single"/>
          <w:lang w:eastAsia="zh-CN"/>
        </w:rPr>
        <w:t>3.拟选派项目负责人资质等级：二级及以上注册建造师（公路工程专业），本人必须具有行业主管部门颁发的企业项目负责人安全生产考核合格证书（B类证，交通部门颁发的）。</w:t>
      </w:r>
    </w:p>
    <w:p w14:paraId="36F5F82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1EDAEC1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2025年11月26日09：00至2025年11月28日17:30。</w:t>
      </w:r>
    </w:p>
    <w:p w14:paraId="6ED99EE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1803AC5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4A8ACE21">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1260"/>
        <w:gridCol w:w="3300"/>
        <w:gridCol w:w="1875"/>
        <w:gridCol w:w="1721"/>
      </w:tblGrid>
      <w:tr w14:paraId="79362056">
        <w:tblPrEx>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4612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12F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BD1C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B6C1A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C34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DB68819">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96BA6BF">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E572014">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4AD21F5">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56E53D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079CD1C">
            <w:pPr>
              <w:jc w:val="center"/>
              <w:rPr>
                <w:rFonts w:hint="eastAsia" w:asciiTheme="minorEastAsia" w:hAnsiTheme="minorEastAsia" w:eastAsiaTheme="minorEastAsia" w:cstheme="minorEastAsia"/>
                <w:b w:val="0"/>
                <w:bCs/>
                <w:sz w:val="24"/>
                <w:szCs w:val="24"/>
              </w:rPr>
            </w:pPr>
          </w:p>
        </w:tc>
      </w:tr>
      <w:tr w14:paraId="3870835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DD3B07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6EB852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F7A8C71">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F571A72">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2851DB1">
            <w:pPr>
              <w:jc w:val="center"/>
              <w:rPr>
                <w:rFonts w:hint="eastAsia" w:asciiTheme="minorEastAsia" w:hAnsiTheme="minorEastAsia" w:eastAsiaTheme="minorEastAsia" w:cstheme="minorEastAsia"/>
                <w:b w:val="0"/>
                <w:bCs/>
                <w:sz w:val="24"/>
                <w:szCs w:val="24"/>
              </w:rPr>
            </w:pPr>
          </w:p>
        </w:tc>
      </w:tr>
      <w:tr w14:paraId="47EEBF8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0569C55">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2048E65">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C192A6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0817BBF">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DB44E2B">
            <w:pPr>
              <w:jc w:val="center"/>
              <w:rPr>
                <w:rFonts w:hint="eastAsia" w:asciiTheme="minorEastAsia" w:hAnsiTheme="minorEastAsia" w:eastAsiaTheme="minorEastAsia" w:cstheme="minorEastAsia"/>
                <w:b w:val="0"/>
                <w:bCs/>
                <w:sz w:val="24"/>
                <w:szCs w:val="24"/>
              </w:rPr>
            </w:pPr>
          </w:p>
        </w:tc>
      </w:tr>
      <w:tr w14:paraId="5D29DB4B">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9BEEAC3">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323E95B">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BF8961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17F249CE">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C713F88">
            <w:pPr>
              <w:jc w:val="center"/>
              <w:rPr>
                <w:rFonts w:hint="eastAsia" w:asciiTheme="minorEastAsia" w:hAnsiTheme="minorEastAsia" w:eastAsiaTheme="minorEastAsia" w:cstheme="minorEastAsia"/>
                <w:b w:val="0"/>
                <w:bCs/>
                <w:sz w:val="24"/>
                <w:szCs w:val="24"/>
              </w:rPr>
            </w:pPr>
          </w:p>
        </w:tc>
      </w:tr>
    </w:tbl>
    <w:p w14:paraId="6DAD6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1FE51B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1BCCD58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63CFD3C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080D7E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1756C75E">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218211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（三）提交截止时间：2025年11月28日17:30</w:t>
      </w:r>
    </w:p>
    <w:p w14:paraId="15403E9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（四)供应商应提交截止时间前将文件发送至邮箱1244865656@qq.com，逾期发送的，采购人不予受理。</w:t>
      </w:r>
    </w:p>
    <w:p w14:paraId="3C3F8F0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p>
    <w:p w14:paraId="029A90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6A09BD5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名称：沭阳县陇集镇人民政府</w:t>
      </w:r>
    </w:p>
    <w:p w14:paraId="5CD936A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地址：沭阳县陇集镇发展大道58号</w:t>
      </w:r>
    </w:p>
    <w:p w14:paraId="01C6B8A9">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联系方式：15105240800</w:t>
      </w:r>
    </w:p>
    <w:p w14:paraId="172B12C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项目联系人：胡勇</w:t>
      </w:r>
      <w:bookmarkStart w:id="1" w:name="_GoBack"/>
      <w:bookmarkEnd w:id="1"/>
    </w:p>
    <w:p w14:paraId="2D5F9E0A">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6104">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433B5"/>
    <w:rsid w:val="0917356D"/>
    <w:rsid w:val="0DA523D6"/>
    <w:rsid w:val="18B361A2"/>
    <w:rsid w:val="25EB1338"/>
    <w:rsid w:val="2A5A5EFB"/>
    <w:rsid w:val="2C934738"/>
    <w:rsid w:val="36242288"/>
    <w:rsid w:val="3CFA3AE8"/>
    <w:rsid w:val="402D7E6B"/>
    <w:rsid w:val="4E921C02"/>
    <w:rsid w:val="4FE02B99"/>
    <w:rsid w:val="5DA364B1"/>
    <w:rsid w:val="5FC7114C"/>
    <w:rsid w:val="6C95465B"/>
    <w:rsid w:val="6F753E42"/>
    <w:rsid w:val="72CF4FF0"/>
    <w:rsid w:val="77D3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949</Words>
  <Characters>1116</Characters>
  <Lines>0</Lines>
  <Paragraphs>0</Paragraphs>
  <TotalTime>3</TotalTime>
  <ScaleCrop>false</ScaleCrop>
  <LinksUpToDate>false</LinksUpToDate>
  <CharactersWithSpaces>1117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用脚走路的鱼</cp:lastModifiedBy>
  <dcterms:modified xsi:type="dcterms:W3CDTF">2025-11-25T05:51:39Z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eyJoZGlkIjoiOWY0OTgzMjM2NDQxOTI2N2UwZjRjNGFkMjcyZTEzZGMiLCJ1c2VySWQiOiIxMzYzMDIxODEwIn0=</vt:lpwstr>
  </property>
  <property fmtid="{D5CDD505-2E9C-101B-9397-08002B2CF9AE}" pid="4" name="ICV">
    <vt:lpwstr>45029A5B63414A32A94F8E061F6A31EE_13</vt:lpwstr>
  </property>
</Properties>
</file>